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FE3B" w14:textId="77777777" w:rsidR="00F75572" w:rsidRPr="00F75572" w:rsidRDefault="00F75572" w:rsidP="00F75572">
      <w:pPr>
        <w:keepNext/>
        <w:spacing w:before="120" w:after="120" w:line="276" w:lineRule="auto"/>
        <w:jc w:val="right"/>
        <w:rPr>
          <w:rFonts w:asciiTheme="minorHAnsi" w:hAnsiTheme="minorHAnsi" w:cstheme="minorHAnsi"/>
        </w:rPr>
      </w:pPr>
      <w:r w:rsidRPr="00F75572">
        <w:rPr>
          <w:rFonts w:asciiTheme="minorHAnsi" w:hAnsiTheme="minorHAnsi" w:cstheme="minorHAnsi"/>
        </w:rPr>
        <w:t>Projekt</w:t>
      </w:r>
    </w:p>
    <w:p w14:paraId="2079506F" w14:textId="10D4F8F1" w:rsidR="00A77B3E" w:rsidRPr="00F75572" w:rsidRDefault="00F75572" w:rsidP="00F75572">
      <w:pPr>
        <w:keepNext/>
        <w:spacing w:before="120" w:after="120" w:line="276" w:lineRule="auto"/>
        <w:jc w:val="right"/>
        <w:rPr>
          <w:rFonts w:asciiTheme="minorHAnsi" w:hAnsiTheme="minorHAnsi" w:cstheme="minorHAnsi"/>
        </w:rPr>
      </w:pPr>
      <w:r w:rsidRPr="00F75572">
        <w:rPr>
          <w:rFonts w:asciiTheme="minorHAnsi" w:hAnsiTheme="minorHAnsi" w:cstheme="minorHAnsi"/>
        </w:rPr>
        <w:t xml:space="preserve"> </w:t>
      </w:r>
    </w:p>
    <w:p w14:paraId="690F7336" w14:textId="5859ECA8" w:rsidR="00A77B3E" w:rsidRPr="00F75572" w:rsidRDefault="0050053C">
      <w:pPr>
        <w:keepNext/>
        <w:spacing w:after="480" w:line="276" w:lineRule="auto"/>
        <w:jc w:val="center"/>
        <w:rPr>
          <w:rFonts w:asciiTheme="minorHAnsi" w:hAnsiTheme="minorHAnsi" w:cstheme="minorHAnsi"/>
        </w:rPr>
      </w:pPr>
      <w:r w:rsidRPr="00F75572">
        <w:rPr>
          <w:rFonts w:asciiTheme="minorHAnsi" w:hAnsiTheme="minorHAnsi" w:cstheme="minorHAnsi"/>
          <w:b/>
        </w:rPr>
        <w:t>Program współpracy Gminy Miasta Brodnicy z organizacjami pozarządowymi oraz podmiotami prowadzącymi działalność pożytku publicznego na rok 202</w:t>
      </w:r>
      <w:r w:rsidR="00F75572">
        <w:rPr>
          <w:rFonts w:asciiTheme="minorHAnsi" w:hAnsiTheme="minorHAnsi" w:cstheme="minorHAnsi"/>
          <w:b/>
        </w:rPr>
        <w:t>6</w:t>
      </w:r>
    </w:p>
    <w:p w14:paraId="10C3C400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</w:rPr>
        <w:t>Rozdział 1</w:t>
      </w:r>
    </w:p>
    <w:p w14:paraId="4142DE43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Postanowienia ogólne</w:t>
      </w:r>
    </w:p>
    <w:p w14:paraId="3D5574E6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1.  Ilekroć w treści programu mówi się o:</w:t>
      </w:r>
    </w:p>
    <w:p w14:paraId="12727D1D" w14:textId="2EFE267C" w:rsidR="00A77B3E" w:rsidRPr="00497038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1) </w:t>
      </w:r>
      <w:r w:rsidRPr="00F75572">
        <w:rPr>
          <w:rFonts w:asciiTheme="minorHAnsi" w:hAnsiTheme="minorHAnsi" w:cstheme="minorHAnsi"/>
          <w:b/>
          <w:color w:val="000000"/>
          <w:u w:color="000000"/>
        </w:rPr>
        <w:t xml:space="preserve">Ustawie </w:t>
      </w:r>
      <w:r w:rsidRPr="00F75572">
        <w:rPr>
          <w:rFonts w:asciiTheme="minorHAnsi" w:hAnsiTheme="minorHAnsi" w:cstheme="minorHAnsi"/>
          <w:color w:val="000000"/>
          <w:u w:color="000000"/>
        </w:rPr>
        <w:t xml:space="preserve">- rozumie się przez to ustawę z dnia 24 kwietnia 2003r. o działalności pożytku publicznego i o </w:t>
      </w:r>
      <w:r w:rsidRPr="00497038">
        <w:rPr>
          <w:rFonts w:asciiTheme="minorHAnsi" w:hAnsiTheme="minorHAnsi" w:cstheme="minorHAnsi"/>
          <w:color w:val="000000"/>
          <w:u w:color="000000"/>
        </w:rPr>
        <w:t>wolontariacie (</w:t>
      </w:r>
      <w:r w:rsidR="00497038" w:rsidRPr="00497038">
        <w:rPr>
          <w:rFonts w:asciiTheme="minorHAnsi" w:hAnsiTheme="minorHAnsi" w:cstheme="minorHAnsi"/>
          <w:color w:val="333333"/>
          <w:shd w:val="clear" w:color="auto" w:fill="FFFFFF"/>
        </w:rPr>
        <w:t xml:space="preserve">Dz. U. z 2024 r. poz. 1491 z </w:t>
      </w:r>
      <w:proofErr w:type="spellStart"/>
      <w:r w:rsidR="00497038" w:rsidRPr="00497038">
        <w:rPr>
          <w:rFonts w:asciiTheme="minorHAnsi" w:hAnsiTheme="minorHAnsi" w:cstheme="minorHAnsi"/>
          <w:color w:val="333333"/>
          <w:shd w:val="clear" w:color="auto" w:fill="FFFFFF"/>
        </w:rPr>
        <w:t>późn</w:t>
      </w:r>
      <w:proofErr w:type="spellEnd"/>
      <w:r w:rsidR="00497038" w:rsidRPr="00497038">
        <w:rPr>
          <w:rFonts w:asciiTheme="minorHAnsi" w:hAnsiTheme="minorHAnsi" w:cstheme="minorHAnsi"/>
          <w:color w:val="333333"/>
          <w:shd w:val="clear" w:color="auto" w:fill="FFFFFF"/>
        </w:rPr>
        <w:t>. zm.</w:t>
      </w:r>
      <w:r w:rsidRPr="00497038">
        <w:rPr>
          <w:rFonts w:asciiTheme="minorHAnsi" w:hAnsiTheme="minorHAnsi" w:cstheme="minorHAnsi"/>
          <w:color w:val="000000"/>
          <w:u w:color="000000"/>
        </w:rPr>
        <w:t>);</w:t>
      </w:r>
    </w:p>
    <w:p w14:paraId="4D36880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2) </w:t>
      </w:r>
      <w:r w:rsidRPr="00F75572">
        <w:rPr>
          <w:rFonts w:asciiTheme="minorHAnsi" w:hAnsiTheme="minorHAnsi" w:cstheme="minorHAnsi"/>
          <w:b/>
          <w:color w:val="000000"/>
          <w:u w:color="000000"/>
        </w:rPr>
        <w:t xml:space="preserve">Organizacjach </w:t>
      </w:r>
      <w:r w:rsidRPr="00F75572">
        <w:rPr>
          <w:rFonts w:asciiTheme="minorHAnsi" w:hAnsiTheme="minorHAnsi" w:cstheme="minorHAnsi"/>
          <w:color w:val="000000"/>
          <w:u w:color="000000"/>
        </w:rPr>
        <w:t>– rozumie się przez to organizacje pozarządowe i inne uprawnione podmioty prowadzące działalność pożytku publicznego, o których mowa w art. 3 ust. 3 Ustawy;</w:t>
      </w:r>
    </w:p>
    <w:p w14:paraId="400DE4E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3) </w:t>
      </w:r>
      <w:r w:rsidRPr="00F75572">
        <w:rPr>
          <w:rFonts w:asciiTheme="minorHAnsi" w:hAnsiTheme="minorHAnsi" w:cstheme="minorHAnsi"/>
          <w:b/>
          <w:color w:val="000000"/>
          <w:u w:color="000000"/>
        </w:rPr>
        <w:t>Programie</w:t>
      </w:r>
      <w:r w:rsidRPr="00F75572">
        <w:rPr>
          <w:rFonts w:asciiTheme="minorHAnsi" w:hAnsiTheme="minorHAnsi" w:cstheme="minorHAnsi"/>
          <w:color w:val="000000"/>
          <w:u w:color="000000"/>
        </w:rPr>
        <w:t xml:space="preserve"> – rozumie się przez to program współpracy Gminy Miasta Brodnicy na 2025 r. z organizacjami pozarządowymi oraz z podmiotami, o których mowa w art. 3 ust. 3 Ustawy;</w:t>
      </w:r>
    </w:p>
    <w:p w14:paraId="7013B37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4) </w:t>
      </w:r>
      <w:r w:rsidRPr="00F75572">
        <w:rPr>
          <w:rFonts w:asciiTheme="minorHAnsi" w:hAnsiTheme="minorHAnsi" w:cstheme="minorHAnsi"/>
          <w:b/>
          <w:color w:val="000000"/>
          <w:u w:color="000000"/>
        </w:rPr>
        <w:t xml:space="preserve">Radzie </w:t>
      </w:r>
      <w:r w:rsidRPr="00F75572">
        <w:rPr>
          <w:rFonts w:asciiTheme="minorHAnsi" w:hAnsiTheme="minorHAnsi" w:cstheme="minorHAnsi"/>
          <w:color w:val="000000"/>
          <w:u w:color="000000"/>
        </w:rPr>
        <w:t>- rozumie się przez to Radę Miejską w Brodnicy;</w:t>
      </w:r>
    </w:p>
    <w:p w14:paraId="3ED8702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5) </w:t>
      </w:r>
      <w:r w:rsidRPr="00F75572">
        <w:rPr>
          <w:rFonts w:asciiTheme="minorHAnsi" w:hAnsiTheme="minorHAnsi" w:cstheme="minorHAnsi"/>
          <w:b/>
          <w:color w:val="000000"/>
          <w:u w:color="000000"/>
        </w:rPr>
        <w:t xml:space="preserve">Mieście - </w:t>
      </w:r>
      <w:r w:rsidRPr="00F75572">
        <w:rPr>
          <w:rFonts w:asciiTheme="minorHAnsi" w:hAnsiTheme="minorHAnsi" w:cstheme="minorHAnsi"/>
          <w:color w:val="000000"/>
          <w:u w:color="000000"/>
        </w:rPr>
        <w:t>rozumie się przez to Gminę Miasta Brodnicy.</w:t>
      </w:r>
    </w:p>
    <w:p w14:paraId="1053BB06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2. Program określa politykę Miasta wobec organizacji w zaspokajaniu różnorodnych potrzeb, aspiracji, dążeń i oczekiwań mieszkańców Brodnicy tworzących z mocy prawa wspólnotę samorządową.</w:t>
      </w:r>
    </w:p>
    <w:p w14:paraId="773A9EC2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2</w:t>
      </w:r>
    </w:p>
    <w:p w14:paraId="1EE9608E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Cel główny i cele szczegółowe Programu</w:t>
      </w:r>
    </w:p>
    <w:p w14:paraId="7A29E69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3. Celem głównym Programu  jest  wspieranie rozwoju społeczeństwa obywatelskiego, budowanie i umacnianie partnerstwa pomiędzy Miastem a Organizacjami oraz określenie zasad regulujących tę współpracę.</w:t>
      </w:r>
    </w:p>
    <w:p w14:paraId="3480729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4. Celami szczegółowymi Programu są:</w:t>
      </w:r>
    </w:p>
    <w:p w14:paraId="3EB80F9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stworzenie warunków do powstawania inicjatyw i podejmowania działań na rzecz społeczności lokalnych lub ogółu mieszkańców;</w:t>
      </w:r>
    </w:p>
    <w:p w14:paraId="363B4224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wzmocnienie potencjału Organizacji;</w:t>
      </w:r>
    </w:p>
    <w:p w14:paraId="1A65259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rozwijanie partnerstwa publiczno-społecznego;</w:t>
      </w:r>
    </w:p>
    <w:p w14:paraId="355FC26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wspieranie inicjatyw, nowatorskich pomysłów i rozwiązań zwiększających świadomość  społeczeństwa obywatelskiego;</w:t>
      </w:r>
    </w:p>
    <w:p w14:paraId="35B2049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prezentacja dorobku Organizacji i promowanie ich osiągnięć;</w:t>
      </w:r>
    </w:p>
    <w:p w14:paraId="09671BE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uzupełnienie działań Miasta w zakresie nieobjętym przez struktury samorządowe;</w:t>
      </w:r>
    </w:p>
    <w:p w14:paraId="53A5465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7) zwiększenie aktywności Organizacji w wykorzystaniu środków pozabudżetowych na rzecz mieszkańców Gminy Miasta Brodnicy;</w:t>
      </w:r>
    </w:p>
    <w:p w14:paraId="0688CCB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8) wspieranie oraz powierzanie Organizacjom zadań publicznych.</w:t>
      </w:r>
    </w:p>
    <w:p w14:paraId="4921DF58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3</w:t>
      </w:r>
    </w:p>
    <w:p w14:paraId="33821786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Zasady współpracy</w:t>
      </w:r>
    </w:p>
    <w:p w14:paraId="20CD406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5. Partnerami współpracy w realizacji zapisów Programu są Organizacje, które realizują cele publiczne związane z wykonywaniem zadań własnych gminy.</w:t>
      </w:r>
    </w:p>
    <w:p w14:paraId="7D2B94C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6. Współpraca Miasta z Organizacjami odbywa się na zasadach:</w:t>
      </w:r>
    </w:p>
    <w:p w14:paraId="0BF700A4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pomocniczości, polegającej na wzajemnym wspieraniu działań oraz umożliwianiu realizacji zadań publicznych;</w:t>
      </w:r>
    </w:p>
    <w:p w14:paraId="1DE05A8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suwerenności stron, co oznacza, że zarówno Miasto, jak i Organizacje podejmujące współpracę zachowują autonomię i niezależność;</w:t>
      </w:r>
    </w:p>
    <w:p w14:paraId="42FE142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partnerstwa, co oznacza, że zarówno Miasto, jak i Organizacje uczestniczą w identyfikowaniu i definiowaniu problemów społecznych, wypracowaniu sposobów ich rozwiązania oraz realizacji zadań publicznych;</w:t>
      </w:r>
    </w:p>
    <w:p w14:paraId="2857387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efektywności, co oznacza, że zarówno Miasto, jak i Organizacje współpracując ze sobą w wykonywaniu zadań, będą dbać, aby zadania te były wykonane z jak najlepszym rezultatem dla dobra społeczności lokalnej;</w:t>
      </w:r>
    </w:p>
    <w:p w14:paraId="351D039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uczciwej konkurencji, rzetelności i jawności, polegającej na obowiązku wzajemnego udostępniania przez Miasto i Organizacje niezbędnych informacji służących realizacji określonych zadań oraz realnego szacowania kosztów przedstawionych w ofertach i harmonogramach.</w:t>
      </w:r>
    </w:p>
    <w:p w14:paraId="351FAF11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4</w:t>
      </w:r>
    </w:p>
    <w:p w14:paraId="1B8BF8A5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Zakres przedmiotowy i formy współpracy</w:t>
      </w:r>
    </w:p>
    <w:p w14:paraId="63CE80C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7. Współpraca  Miasta z Organizacjami obejmuje, w szczególności sferę zadań publicznych, o których mowa w art. 4 ust. 1 Ustawy, odbywa się w następujących formach:</w:t>
      </w:r>
    </w:p>
    <w:p w14:paraId="042EF39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finansowych;</w:t>
      </w:r>
    </w:p>
    <w:p w14:paraId="1842A7A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pozafinansowych.</w:t>
      </w:r>
    </w:p>
    <w:p w14:paraId="5027021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8. 1. Finansowe formy współpracy Miasta z Organizacjami obejmują:</w:t>
      </w:r>
    </w:p>
    <w:p w14:paraId="03891F2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powierzanie wykonania zadań publicznych wraz  z udzieleniem dotacji na finansowanie ich realizacji;</w:t>
      </w:r>
    </w:p>
    <w:p w14:paraId="3E7DD8D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wspieranie wykonania zadań publicznych, wraz z udzieleniem dotacji na dofinansowanie ich realizacji;</w:t>
      </w:r>
    </w:p>
    <w:p w14:paraId="7CF5761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zlecanie Organizacjom realizacji zadań publicznych na wniosek organizacji, w trybie art. 19a ustawy;</w:t>
      </w:r>
    </w:p>
    <w:p w14:paraId="6FC142F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realizacji zadań w ramach inicjatywy lokalnej, o której mowa w art. 19b-19h Ustawy;</w:t>
      </w:r>
    </w:p>
    <w:p w14:paraId="64324D66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5) możliwość zawierania przez Gminę umów o współorganizację przedsięwzięć podejmowanych z organizacjami pozarządowymi;</w:t>
      </w:r>
    </w:p>
    <w:p w14:paraId="78D03C4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możliwość wspierania finansowego przedsięwzięć podejmowanych przez organizacje pozarządowe na rzecz mieszkańców Miasta.</w:t>
      </w:r>
      <w:r w:rsidRPr="00F75572">
        <w:rPr>
          <w:rFonts w:asciiTheme="minorHAnsi" w:hAnsiTheme="minorHAnsi" w:cstheme="minorHAnsi"/>
          <w:color w:val="000000"/>
          <w:u w:color="000000"/>
        </w:rPr>
        <w:tab/>
      </w:r>
    </w:p>
    <w:p w14:paraId="67A4B9F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2. Wspieranie oraz powierzanie, o których mowa w ust. 1 pkt 1 i 2 odbywa się po przeprowadzeniu otwartego konkursu ofert chyba, że przepisy odrębne przewidują inny tryb zlecania.</w:t>
      </w:r>
    </w:p>
    <w:p w14:paraId="3580359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3. Powierzenie, o którym mowa w ust. 1 pkt 1 może nastąpić w innym trybie niż określony w ust. 2, jeżeli dane zadanie można zrealizować efektywniej w inny sposób określony w odrębnych przepisach, w szczególności poprzez zakup usług na zasadach i w trybie określonym w przepisach o zamówieniach publicznych, przy porównywalności metod kalkulacji kosztów oraz porównywalności opodatkowania.</w:t>
      </w:r>
    </w:p>
    <w:p w14:paraId="1294C66A" w14:textId="149F147E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4. Dotacje, o których mowa w ust. 1</w:t>
      </w:r>
      <w:r w:rsidR="00F75572">
        <w:rPr>
          <w:rFonts w:asciiTheme="minorHAnsi" w:hAnsiTheme="minorHAnsi" w:cstheme="minorHAnsi"/>
          <w:color w:val="000000"/>
          <w:u w:color="000000"/>
        </w:rPr>
        <w:t xml:space="preserve"> </w:t>
      </w:r>
      <w:r w:rsidRPr="00F75572">
        <w:rPr>
          <w:rFonts w:asciiTheme="minorHAnsi" w:hAnsiTheme="minorHAnsi" w:cstheme="minorHAnsi"/>
          <w:color w:val="000000"/>
          <w:u w:color="000000"/>
        </w:rPr>
        <w:t> nie mogą być udzielone na:</w:t>
      </w:r>
      <w:r w:rsidRPr="00F75572">
        <w:rPr>
          <w:rFonts w:asciiTheme="minorHAnsi" w:hAnsiTheme="minorHAnsi" w:cstheme="minorHAnsi"/>
          <w:color w:val="000000"/>
          <w:u w:color="000000"/>
        </w:rPr>
        <w:br/>
        <w:t>1) dotowanie przedsięwzięć, które są dofinansowywane z budżetu gminy lub jego funduszy celowych na podstawie przepisów szczególnych;</w:t>
      </w:r>
    </w:p>
    <w:p w14:paraId="708C7AD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pokrycie deficytu zrealizowanych wcześniej przedsięwzięć oraz refundację kosztów;</w:t>
      </w:r>
      <w:r w:rsidRPr="00F75572">
        <w:rPr>
          <w:rFonts w:asciiTheme="minorHAnsi" w:hAnsiTheme="minorHAnsi" w:cstheme="minorHAnsi"/>
          <w:color w:val="000000"/>
          <w:u w:color="000000"/>
        </w:rPr>
        <w:br/>
        <w:t>3) budowę, zakup budynków lub lokali, zakup gruntów;</w:t>
      </w:r>
    </w:p>
    <w:p w14:paraId="58517BF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działalność gospodarczą podmiotów prowadzących działalność pożytku publicznego;</w:t>
      </w:r>
      <w:r w:rsidRPr="00F75572">
        <w:rPr>
          <w:rFonts w:asciiTheme="minorHAnsi" w:hAnsiTheme="minorHAnsi" w:cstheme="minorHAnsi"/>
          <w:color w:val="000000"/>
          <w:u w:color="000000"/>
        </w:rPr>
        <w:br/>
        <w:t>5) udzielanie pomocy finansowej osobom fizycznym lub prawnym;</w:t>
      </w:r>
    </w:p>
    <w:p w14:paraId="490EC31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działalność polityczną.</w:t>
      </w:r>
    </w:p>
    <w:p w14:paraId="565E76C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9. Pozafinansowe formy współpracy Miasta z Organizacjami obejmują:</w:t>
      </w:r>
    </w:p>
    <w:p w14:paraId="00FFD06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konsultowanie z Organizacjami projektów aktów normatywnych w dziedzinach dotyczących działalności statutowej tych Organizacji;</w:t>
      </w:r>
    </w:p>
    <w:p w14:paraId="70EB52B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tworzenie, w miarę potrzeb, wspólnych zespołów konsultacyjnych o charakterze doradczym  lub  inicjatywnym,   składających   się   z radnych   i przedstawicieli  jednostek organizacyjnych Miasta oraz Organizacji w celu rozpatrzenia określonych problemów, ustalania strategii i sposobów wspólnego działania, bądź podjęcia określonej problematyki dla dobra pożytku publicznego;</w:t>
      </w:r>
    </w:p>
    <w:p w14:paraId="0ED11904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wzajemne informowanie się o planowanych kierunkach działalności;</w:t>
      </w:r>
    </w:p>
    <w:p w14:paraId="06B96814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inicjowanie, wspieranie i organizowanie przedsięwzięć, spotkań, konferencji, szkoleń i poradnictwa dla Organizacji;</w:t>
      </w:r>
    </w:p>
    <w:p w14:paraId="11DA6E88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wystawianie przez Miasto opinii, udzielanie rekomendacji, pomoc przy pozyskiwaniu środków finansowych przez Organizacje w przypadku ubiegania się o nie ze źródeł zewnętrznych;</w:t>
      </w:r>
    </w:p>
    <w:p w14:paraId="03CF11C8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pomoc w nawiązaniu kontaktów i współpracy z Organizacjami z zagranicy ze szczególnym uwzględnieniem podmiotów działających w miastach partnerskich;</w:t>
      </w:r>
    </w:p>
    <w:p w14:paraId="39E9C5E0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7) udostępnianie niezbędnej infrastruktury miejskiej do prowadzenia działalności statutowej Organizacji;</w:t>
      </w:r>
    </w:p>
    <w:p w14:paraId="58590042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8) umożliwianie Organizacjom korzystania na preferencyjnych warunkach (dzierżawa, najem,   użyczenie) z nieruchomości (lokali) będących własnością Miasta dla celów prowadzenia działalności statutowej tych organizacji, zgodnie z posiadanymi zasobami lokalowymi Miasta;</w:t>
      </w:r>
    </w:p>
    <w:p w14:paraId="696BD4AB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9) umożliwianie Organizacjom na preferencyjnych warunkach korzystania z zasobów Miasta, takich jak sale, sprzęt, wyposażenie, na cele związane z działalnością pożytku publicznego;</w:t>
      </w:r>
    </w:p>
    <w:p w14:paraId="68CA852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10) wzajemne promowanie się Miasta i Organizacji w trakcie organizowania i realizacji działań, wydarzeń i projektów;</w:t>
      </w:r>
    </w:p>
    <w:p w14:paraId="3C630BA0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11) promowania  działalności  sektora  pozarządowego poprzez obejmowanie patronatem Burmistrza wybranych przedsięwzięć realizowanych przez Organizacje;</w:t>
      </w:r>
    </w:p>
    <w:p w14:paraId="3EC1C687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12) przygotowywanie, wnioskowanie i realizacja projektów partnerskich, w których Miasto Brodnica występuje jako partner lub lider w projekcie realizowanym wspólnie z Organizacją.</w:t>
      </w:r>
    </w:p>
    <w:p w14:paraId="2AE9F4DF" w14:textId="77777777" w:rsidR="00A77B3E" w:rsidRPr="00F75572" w:rsidRDefault="0050053C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10. Organizacja ubiegająca się o wsparcie finansowe musi wykazać w składanej ofercie udział środków własnych.</w:t>
      </w:r>
    </w:p>
    <w:p w14:paraId="6C63E1F4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11. Działalność pełnomocnika burmistrza ds. współpracy z organizacjami pozarządowymi polega na:</w:t>
      </w:r>
    </w:p>
    <w:p w14:paraId="4EE050C4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realizowaniu polityki Miasta w zakresie współpracy z Organizacjami;</w:t>
      </w:r>
    </w:p>
    <w:p w14:paraId="0E874440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pełnieniu roli mediatora pomiędzy Organizacjami a Miastem;</w:t>
      </w:r>
    </w:p>
    <w:p w14:paraId="765204F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wsparciu dialogu, wymianie informacji i koordynacji działań Organizacji działających na terenie Miasta.</w:t>
      </w:r>
    </w:p>
    <w:p w14:paraId="43948C8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12. Za koordynację działań objętych niniejszym Programem odpowiedzialny jest pełnomocnik burmistrza ds. współpracy z organizacjami  pozarządowymi oraz  dyrektorzy i kierownicy komórek organizacyjnych Urzędu Miejskiego w Brodnicy  w zakresie swojego działania, który określa regulamin organizacyjny Urzędu Miejskiego.</w:t>
      </w:r>
    </w:p>
    <w:p w14:paraId="34DF33E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13. Miejscem realizacji programu jest obszar Miasta.</w:t>
      </w:r>
    </w:p>
    <w:p w14:paraId="71D765E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14. W uzasadnionych przypadkach realizacja zadań publicznych, o których mowa w Programie,  może odbywać się poza granicami Miasta i Rzeczypospolitej Polskiej.</w:t>
      </w:r>
    </w:p>
    <w:p w14:paraId="6F6E5810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5</w:t>
      </w:r>
    </w:p>
    <w:p w14:paraId="773560B6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Priorytetowe zadania publiczne</w:t>
      </w:r>
    </w:p>
    <w:p w14:paraId="55CC0C8B" w14:textId="7398EC98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15. Do priorytetowych zadań publicznych w zakresie współpracy Miasta z Organizacjami w 202</w:t>
      </w:r>
      <w:r w:rsidR="00F75572">
        <w:rPr>
          <w:rFonts w:asciiTheme="minorHAnsi" w:hAnsiTheme="minorHAnsi" w:cstheme="minorHAnsi"/>
          <w:color w:val="000000"/>
          <w:u w:color="000000"/>
        </w:rPr>
        <w:t>6</w:t>
      </w:r>
      <w:r w:rsidRPr="00F75572">
        <w:rPr>
          <w:rFonts w:asciiTheme="minorHAnsi" w:hAnsiTheme="minorHAnsi" w:cstheme="minorHAnsi"/>
          <w:color w:val="000000"/>
          <w:u w:color="000000"/>
        </w:rPr>
        <w:t xml:space="preserve"> roku należą:</w:t>
      </w:r>
    </w:p>
    <w:p w14:paraId="100A160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działania z zakresu kultury, sztuki, ochrony dóbr kultury, tradycji regionu i promocji;</w:t>
      </w:r>
    </w:p>
    <w:p w14:paraId="6DFBC2B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upowszechnianie kultury fizycznej, w tym sportu;</w:t>
      </w:r>
    </w:p>
    <w:p w14:paraId="6E6AAF5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działania z zakresu nauki, edukacji, oświaty i wychowania;</w:t>
      </w:r>
    </w:p>
    <w:p w14:paraId="0DD57EF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4) działalności na rzecz dzieci i młodzieży, w tym wypoczynku dzieci i młodzieży;</w:t>
      </w:r>
    </w:p>
    <w:p w14:paraId="5275766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działania na rzecz promocji i ochrony zdrowia;</w:t>
      </w:r>
    </w:p>
    <w:p w14:paraId="7F4CBDC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działania na rzecz turystyki, promujące miasto wraz z regionem;</w:t>
      </w:r>
    </w:p>
    <w:p w14:paraId="3E19BCD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7) działania na rzecz ekologii i ochrony zwierząt oraz ochrony dziedzictwa przyrodniczego;</w:t>
      </w:r>
    </w:p>
    <w:p w14:paraId="7C6E181C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8) działania na rzecz osób wykluczonych i zagrożonych wykluczeniem społecznym;</w:t>
      </w:r>
    </w:p>
    <w:p w14:paraId="269FD71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9) działania na rzecz osób niepełnosprawnych;</w:t>
      </w:r>
    </w:p>
    <w:p w14:paraId="5D0C77E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10) działania na rzecz ratownictwa i ochrony ludności;</w:t>
      </w:r>
    </w:p>
    <w:p w14:paraId="4261E41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11) promocja i organizacja wolontariatu;</w:t>
      </w:r>
    </w:p>
    <w:p w14:paraId="40781F2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12) działania na rzecz organizacji pozarządowych oraz podmiotów wymienionych w art. 3 ust. 3;</w:t>
      </w:r>
    </w:p>
    <w:p w14:paraId="5B4FB1A5" w14:textId="462F9282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13) działania na rzecz podmiotów ekonomii społecznej i przedsiębiorstw społecznych, o których mowa w ustawie z dnia 5 sierpnia 2022 r. o ekonomii </w:t>
      </w:r>
      <w:r w:rsidRPr="00497038">
        <w:rPr>
          <w:rFonts w:asciiTheme="minorHAnsi" w:hAnsiTheme="minorHAnsi" w:cstheme="minorHAnsi"/>
          <w:color w:val="000000"/>
          <w:u w:color="000000"/>
        </w:rPr>
        <w:t>społecznej (</w:t>
      </w:r>
      <w:r w:rsidR="00497038" w:rsidRPr="00497038">
        <w:rPr>
          <w:rFonts w:asciiTheme="minorHAnsi" w:hAnsiTheme="minorHAnsi" w:cstheme="minorHAnsi"/>
          <w:color w:val="333333"/>
          <w:shd w:val="clear" w:color="auto" w:fill="FFFFFF"/>
        </w:rPr>
        <w:t>Dz. U. z 2025 r. poz. 806</w:t>
      </w:r>
      <w:r w:rsidRPr="00497038">
        <w:rPr>
          <w:rFonts w:asciiTheme="minorHAnsi" w:hAnsiTheme="minorHAnsi" w:cstheme="minorHAnsi"/>
          <w:color w:val="000000"/>
          <w:u w:color="000000"/>
        </w:rPr>
        <w:t>).</w:t>
      </w:r>
    </w:p>
    <w:p w14:paraId="1B5EF3AA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6</w:t>
      </w:r>
    </w:p>
    <w:p w14:paraId="24B689BD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Okres realizacji Programu</w:t>
      </w:r>
    </w:p>
    <w:p w14:paraId="09CEEE5B" w14:textId="0124EE0E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16. Program obowiązuje w okresie od 1 stycznia 202</w:t>
      </w:r>
      <w:r w:rsidR="00F75572">
        <w:rPr>
          <w:rFonts w:asciiTheme="minorHAnsi" w:hAnsiTheme="minorHAnsi" w:cstheme="minorHAnsi"/>
          <w:color w:val="000000"/>
          <w:u w:color="000000"/>
        </w:rPr>
        <w:t>6</w:t>
      </w:r>
      <w:r w:rsidRPr="00F75572">
        <w:rPr>
          <w:rFonts w:asciiTheme="minorHAnsi" w:hAnsiTheme="minorHAnsi" w:cstheme="minorHAnsi"/>
          <w:color w:val="000000"/>
          <w:u w:color="000000"/>
        </w:rPr>
        <w:t> r. do 31 grudnia 202</w:t>
      </w:r>
      <w:r w:rsidR="00F75572">
        <w:rPr>
          <w:rFonts w:asciiTheme="minorHAnsi" w:hAnsiTheme="minorHAnsi" w:cstheme="minorHAnsi"/>
          <w:color w:val="000000"/>
          <w:u w:color="000000"/>
        </w:rPr>
        <w:t>6</w:t>
      </w:r>
      <w:r w:rsidRPr="00F75572">
        <w:rPr>
          <w:rFonts w:asciiTheme="minorHAnsi" w:hAnsiTheme="minorHAnsi" w:cstheme="minorHAnsi"/>
          <w:color w:val="000000"/>
          <w:u w:color="000000"/>
        </w:rPr>
        <w:t> r.</w:t>
      </w:r>
    </w:p>
    <w:p w14:paraId="629AD29A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7</w:t>
      </w:r>
    </w:p>
    <w:p w14:paraId="688E4AF7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Sposoby realizacji Programu</w:t>
      </w:r>
    </w:p>
    <w:p w14:paraId="35DECA96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17. Realizatorami  Programu ze strony Miasta będą merytoryczne Wydziały i Biura Urzędu Miejskiego w Brodnicy.</w:t>
      </w:r>
    </w:p>
    <w:p w14:paraId="3F0EA2B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18. W ramach współdziałania  z Organizacjami wdrażane będą następujące zadania:</w:t>
      </w:r>
    </w:p>
    <w:p w14:paraId="2F848E6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wspieranie różnych form upowszechniania kultury fizycznej, w tym sportu wśród społeczności lokalnej;</w:t>
      </w:r>
    </w:p>
    <w:p w14:paraId="0B59174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wspieranie różnych form upowszechniania i rozwoju kultury, sztuki, ochrony dóbr kultury i tradycji wśród społeczności  lokalnej;</w:t>
      </w:r>
    </w:p>
    <w:p w14:paraId="73DE1E2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wspieranie organizacji imprez sportowo-rekreacyjnych;</w:t>
      </w:r>
    </w:p>
    <w:p w14:paraId="2B36F26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wspieranie działań na rzecz organizacji różnych form wypoczynku dzieci i młodzieży, szczególnie w czasie ferii szkolnych;</w:t>
      </w:r>
    </w:p>
    <w:p w14:paraId="75FEB44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wspieranie działań na rzecz integracji lokalnej wspólnoty samorządowej;</w:t>
      </w:r>
    </w:p>
    <w:p w14:paraId="47571DF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wspieranie miejscowych środowisk twórczych – w tym młodych artystów i autorów;</w:t>
      </w:r>
    </w:p>
    <w:p w14:paraId="7424CD6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7) wspieranie działań na rzecz rozwoju turystyki;</w:t>
      </w:r>
    </w:p>
    <w:p w14:paraId="42E9490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8) wspieranie działań z zakresu ochrony i promocji zdrowia;</w:t>
      </w:r>
    </w:p>
    <w:p w14:paraId="0AA4672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9) wspieranie działań z zakresu pomocy społecznej;</w:t>
      </w:r>
    </w:p>
    <w:p w14:paraId="6015ADB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10) wspieranie działań na rzecz osób niepełnosprawnych;</w:t>
      </w:r>
    </w:p>
    <w:p w14:paraId="3AB7077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11) wspieranie działań organizacji pozarządowych oraz podmiotów ekonomii społecznej i przedsiębiorstw społecznych realizowane poprzez:</w:t>
      </w:r>
    </w:p>
    <w:p w14:paraId="1AA58DD0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a) ułatwienia w zakresie dostępu do lokali,</w:t>
      </w:r>
    </w:p>
    <w:p w14:paraId="5C3E1F8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b) zwiększenie form powierzania zadań publicznych,</w:t>
      </w:r>
    </w:p>
    <w:p w14:paraId="564C7C5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c) partnerstwa w realizacji zadań publicznych instytucji publicznych, organizacji pozarządowych oraz podmiotów ekonomii społecznej i przedsiębiorstw społecznych,</w:t>
      </w:r>
    </w:p>
    <w:p w14:paraId="4F4C2BC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d) społecznie odpowiedzialne zamówienia dla organizacji pozarządowych oraz podmiotów ekonomii społecznej i przedsiębiorstw społecznych,</w:t>
      </w:r>
    </w:p>
    <w:p w14:paraId="3838D81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e) wspieranie i promowanie, w miarę możliwości samorządu, działań związanych z ekonomią społeczną,</w:t>
      </w:r>
    </w:p>
    <w:p w14:paraId="77C615C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f) wsparcie możliwości rozwoju działań organizacji poprzez umożliwienie dofinansowania wkładu własnego do zadań finansowanych z innych źródeł;</w:t>
      </w:r>
    </w:p>
    <w:p w14:paraId="053DB0E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12) wspieranie działań na rzecz ekologii i ochrony zwierząt oraz ochrony dziedzictwa przyrodniczego;</w:t>
      </w:r>
    </w:p>
    <w:p w14:paraId="2AB890D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13) wspieranie działań na rzecz ratownictwa i ochrony ludności;</w:t>
      </w:r>
    </w:p>
    <w:p w14:paraId="0598884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14)  wspieranie, promocja i organizacja wolontariatu;</w:t>
      </w:r>
    </w:p>
    <w:p w14:paraId="47B0EA4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15) wspieranie i budowanie zaplecza liderów, specjalistów i animatorów społecznych.</w:t>
      </w:r>
    </w:p>
    <w:p w14:paraId="6918818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19. Zamieszczenie danego zadania w niniejszym Programie nie jest równoznaczne z otrzymaniem dotacji na finansowanie lub dofinansowanie jego realizacji.</w:t>
      </w:r>
    </w:p>
    <w:p w14:paraId="6C2D184A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8</w:t>
      </w:r>
    </w:p>
    <w:p w14:paraId="1909B457" w14:textId="77777777" w:rsidR="00A77B3E" w:rsidRPr="00497038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 w:themeColor="text1"/>
          <w:u w:color="000000"/>
        </w:rPr>
      </w:pPr>
      <w:r w:rsidRPr="00497038">
        <w:rPr>
          <w:rFonts w:asciiTheme="minorHAnsi" w:hAnsiTheme="minorHAnsi" w:cstheme="minorHAnsi"/>
          <w:b/>
          <w:color w:val="000000" w:themeColor="text1"/>
          <w:u w:color="000000"/>
        </w:rPr>
        <w:t>Środki przeznaczone na realizację Programu</w:t>
      </w:r>
    </w:p>
    <w:p w14:paraId="24581EFC" w14:textId="60FC57A2" w:rsidR="00A77B3E" w:rsidRPr="00497038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 w:themeColor="text1"/>
          <w:u w:color="000000"/>
        </w:rPr>
      </w:pPr>
      <w:r w:rsidRPr="00497038">
        <w:rPr>
          <w:rFonts w:asciiTheme="minorHAnsi" w:hAnsiTheme="minorHAnsi" w:cstheme="minorHAnsi"/>
          <w:color w:val="000000" w:themeColor="text1"/>
          <w:u w:color="000000"/>
        </w:rPr>
        <w:t xml:space="preserve">§ 20. Wysokość  środków planowanych na realizację programu w 2025 r. wynosi nie mniej niż </w:t>
      </w:r>
      <w:r w:rsidR="00F75572" w:rsidRPr="00497038">
        <w:rPr>
          <w:rFonts w:asciiTheme="minorHAnsi" w:hAnsiTheme="minorHAnsi" w:cstheme="minorHAnsi"/>
          <w:color w:val="000000" w:themeColor="text1"/>
          <w:u w:color="000000"/>
        </w:rPr>
        <w:t>………………………………..</w:t>
      </w:r>
      <w:r w:rsidRPr="00497038">
        <w:rPr>
          <w:rFonts w:asciiTheme="minorHAnsi" w:hAnsiTheme="minorHAnsi" w:cstheme="minorHAnsi"/>
          <w:color w:val="000000" w:themeColor="text1"/>
          <w:u w:color="000000"/>
        </w:rPr>
        <w:t> zł.</w:t>
      </w:r>
    </w:p>
    <w:p w14:paraId="63A977EC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9</w:t>
      </w:r>
    </w:p>
    <w:p w14:paraId="776A726C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Sposób oceny realizacji Programu</w:t>
      </w:r>
    </w:p>
    <w:p w14:paraId="49B48355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21. Ocena realizacji Programu dokonywana będzie w oparciu o następujące mierniki:</w:t>
      </w:r>
    </w:p>
    <w:p w14:paraId="2D1F3583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liczbę ogłoszonych otwartych konkursów ofert na realizację zadań publicznych;</w:t>
      </w:r>
    </w:p>
    <w:p w14:paraId="2154B01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liczbę organizacji pozarządowych biorących udział w otwartym konkursie ofert;</w:t>
      </w:r>
    </w:p>
    <w:p w14:paraId="48F34EF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liczbę złożonych ofert;</w:t>
      </w:r>
    </w:p>
    <w:p w14:paraId="3929754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liczbę organizacji pozarządowych które otrzymały dotacje;</w:t>
      </w:r>
    </w:p>
    <w:p w14:paraId="0685284C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wysokość środków finansowych zaangażowanych w realizację Programu;</w:t>
      </w:r>
    </w:p>
    <w:p w14:paraId="3D67969E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liczbę zadań zrealizowanych w ramach Programu;</w:t>
      </w:r>
    </w:p>
    <w:p w14:paraId="4A0A0F4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7) informację dotyczącą realizacji różnych form współpracy niefinansowej.</w:t>
      </w:r>
    </w:p>
    <w:p w14:paraId="7EF8F580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lastRenderedPageBreak/>
        <w:t>Rozdział 10</w:t>
      </w:r>
    </w:p>
    <w:p w14:paraId="2FEF201E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Informacja o sposobie tworzenia Programu i o przebiegu konsultacji</w:t>
      </w:r>
    </w:p>
    <w:p w14:paraId="03AFF90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22. W celu uchwalenia Programu podjęte zostały następujące działania:</w:t>
      </w:r>
    </w:p>
    <w:p w14:paraId="10F1BBD1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1) przygotowanie projektu Programu przez pełnomocnika burmistrza ds. współpracy z organizacjami pozarządowymi we współpracy z Wydziałami i Biurami Urzędu Miejskiego w Brodnicy realizującymi zadania z zakresu pożytku publicznego;</w:t>
      </w:r>
    </w:p>
    <w:p w14:paraId="24BF09D5" w14:textId="559708C8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2) przeprowadzenie konsultacji Programu z Organizacjami na rok 202</w:t>
      </w:r>
      <w:r w:rsidR="00F75572">
        <w:rPr>
          <w:rFonts w:asciiTheme="minorHAnsi" w:hAnsiTheme="minorHAnsi" w:cstheme="minorHAnsi"/>
          <w:color w:val="000000"/>
          <w:u w:color="000000"/>
        </w:rPr>
        <w:t>6</w:t>
      </w:r>
      <w:r w:rsidRPr="00F75572">
        <w:rPr>
          <w:rFonts w:asciiTheme="minorHAnsi" w:hAnsiTheme="minorHAnsi" w:cstheme="minorHAnsi"/>
          <w:color w:val="000000"/>
          <w:u w:color="000000"/>
        </w:rPr>
        <w:t>;</w:t>
      </w:r>
    </w:p>
    <w:p w14:paraId="4FE9001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3) sporządzenie przez pełnomocnika burmistrza ds. współpracy z organizacjami pozarządowymi zestawienia opinii, uwag i wniosków zgłoszonych w ramach konsultacji;</w:t>
      </w:r>
    </w:p>
    <w:p w14:paraId="38B5C97A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4) zaopiniowanie zgłoszonych opinii, uwag i wniosków przez Wydziały i Biura merytoryczne Urzędu Miejskiego w Brodnicy;</w:t>
      </w:r>
    </w:p>
    <w:p w14:paraId="30FF139B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5) przygotowanie i zamieszczenie protokołu z przebiegu i wyników konsultacji na stronie internetowej Urzędu Miejskiego w Brodnicy – www.brodnica.pl, zakładka „Organizacje pozarządowe”, w terminie 15 dni od daty zakończenia konsultacji;</w:t>
      </w:r>
    </w:p>
    <w:p w14:paraId="449FE352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6) przyjęcie i uchwalenie przez Radę projektu uchwały dotyczącej Programu.</w:t>
      </w:r>
    </w:p>
    <w:p w14:paraId="44E09B9A" w14:textId="6E766E64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§ 23. 1. Konsultacje Programu odbyły się w terminie od </w:t>
      </w:r>
      <w:r w:rsidR="00F75572">
        <w:rPr>
          <w:rFonts w:asciiTheme="minorHAnsi" w:hAnsiTheme="minorHAnsi" w:cstheme="minorHAnsi"/>
          <w:color w:val="000000"/>
          <w:u w:color="000000"/>
        </w:rPr>
        <w:t>1</w:t>
      </w:r>
      <w:r w:rsidR="00497038">
        <w:rPr>
          <w:rFonts w:asciiTheme="minorHAnsi" w:hAnsiTheme="minorHAnsi" w:cstheme="minorHAnsi"/>
          <w:color w:val="000000"/>
          <w:u w:color="000000"/>
        </w:rPr>
        <w:t>7</w:t>
      </w:r>
      <w:r w:rsidRPr="00F75572">
        <w:rPr>
          <w:rFonts w:asciiTheme="minorHAnsi" w:hAnsiTheme="minorHAnsi" w:cstheme="minorHAnsi"/>
          <w:color w:val="000000"/>
          <w:u w:color="000000"/>
        </w:rPr>
        <w:t> września do 16 października 202</w:t>
      </w:r>
      <w:r w:rsidR="00F75572">
        <w:rPr>
          <w:rFonts w:asciiTheme="minorHAnsi" w:hAnsiTheme="minorHAnsi" w:cstheme="minorHAnsi"/>
          <w:color w:val="000000"/>
          <w:u w:color="000000"/>
        </w:rPr>
        <w:t>5</w:t>
      </w:r>
      <w:r w:rsidRPr="00F75572">
        <w:rPr>
          <w:rFonts w:asciiTheme="minorHAnsi" w:hAnsiTheme="minorHAnsi" w:cstheme="minorHAnsi"/>
          <w:color w:val="000000"/>
          <w:u w:color="000000"/>
        </w:rPr>
        <w:t> r.  i obejmowały:</w:t>
      </w:r>
    </w:p>
    <w:p w14:paraId="77BE427A" w14:textId="7FAC6B58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 xml:space="preserve">- spotkanie konsultacyjne w dniu </w:t>
      </w:r>
      <w:r w:rsidR="00F75572">
        <w:rPr>
          <w:rFonts w:asciiTheme="minorHAnsi" w:hAnsiTheme="minorHAnsi" w:cstheme="minorHAnsi"/>
          <w:color w:val="000000"/>
          <w:u w:color="000000"/>
        </w:rPr>
        <w:t>7</w:t>
      </w:r>
      <w:r w:rsidRPr="00F75572">
        <w:rPr>
          <w:rFonts w:asciiTheme="minorHAnsi" w:hAnsiTheme="minorHAnsi" w:cstheme="minorHAnsi"/>
          <w:color w:val="000000"/>
          <w:u w:color="000000"/>
        </w:rPr>
        <w:t> października 202</w:t>
      </w:r>
      <w:r w:rsidR="00F75572">
        <w:rPr>
          <w:rFonts w:asciiTheme="minorHAnsi" w:hAnsiTheme="minorHAnsi" w:cstheme="minorHAnsi"/>
          <w:color w:val="000000"/>
          <w:u w:color="000000"/>
        </w:rPr>
        <w:t>5</w:t>
      </w:r>
      <w:r w:rsidRPr="00F75572">
        <w:rPr>
          <w:rFonts w:asciiTheme="minorHAnsi" w:hAnsiTheme="minorHAnsi" w:cstheme="minorHAnsi"/>
          <w:color w:val="000000"/>
          <w:u w:color="000000"/>
        </w:rPr>
        <w:t> r.;</w:t>
      </w:r>
    </w:p>
    <w:p w14:paraId="590932D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- pisemne, w tym elektroniczne, przekazywanie opinii i uwag do Programu przy pomocy formularza konsultacyjnego;</w:t>
      </w:r>
    </w:p>
    <w:p w14:paraId="50F11B8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- osobiste składanie formularza konsultacyjnego w Urzędzie Miejskim w Brodnicy.</w:t>
      </w:r>
    </w:p>
    <w:p w14:paraId="4CBA02A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2. W wyniku konsultacji nie wpłynęły uwagi do dokumentu Programu. Nie złożono również propozycji dotyczących realizacji działań, inicjatyw i rozwiązań w ramach realizacji Programu.</w:t>
      </w:r>
    </w:p>
    <w:p w14:paraId="170591A0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3. Informacje o konsultacjach rozpowszechniane były za pośrednictwem portalu miejskiego www.brodnica.pl, oficjalnego Facebooka miasta oraz strony i FB Stowarzyszenia LGD Miasta Brodnicy i Brodnickiej Bazy NGO. Dodatkowo zaproszenia do udziału w konsultacjach wysłane zostały mailowo do organizacji pozarządowych (baza kontaktowa urzędu), wydziałów zajmujących się ogłaszaniem otwartych konkursów ofert oraz radnych Rady Miejskiej w Brodnicy.</w:t>
      </w:r>
    </w:p>
    <w:p w14:paraId="4BB05462" w14:textId="384C1066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4. Protokół z konsultacji projektu Programu współpracy Gminy Miasta Brodnicy z organizacjami pozarządowymi oraz podmiotami prowadzącymi działalność pożytku publicznego na rok 202</w:t>
      </w:r>
      <w:r w:rsidR="00F75572">
        <w:rPr>
          <w:rFonts w:asciiTheme="minorHAnsi" w:hAnsiTheme="minorHAnsi" w:cstheme="minorHAnsi"/>
          <w:color w:val="000000"/>
          <w:u w:color="000000"/>
        </w:rPr>
        <w:t>6</w:t>
      </w:r>
      <w:r w:rsidRPr="00F75572">
        <w:rPr>
          <w:rFonts w:asciiTheme="minorHAnsi" w:hAnsiTheme="minorHAnsi" w:cstheme="minorHAnsi"/>
          <w:color w:val="000000"/>
          <w:u w:color="000000"/>
        </w:rPr>
        <w:t> zamieszczony został na stronie internetowej Urzędu Miejskiego w Brodnicy – www.brodnica.pl, w zakładce „Organizacje pozarządowe”.</w:t>
      </w:r>
    </w:p>
    <w:p w14:paraId="46A2025A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11</w:t>
      </w:r>
    </w:p>
    <w:p w14:paraId="50410CDD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 xml:space="preserve">Tryb  powoływania i zasady działania Komisji konkursowych do opiniowania ofert w otwartych konkursach ofert </w:t>
      </w:r>
    </w:p>
    <w:p w14:paraId="6A974FC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lastRenderedPageBreak/>
        <w:t>§ 24. Komisja konkursowa otwartego konkursu ofert na zadania publiczne Miasta powoływana jest przez Burmistrza Brodnicy.</w:t>
      </w:r>
    </w:p>
    <w:p w14:paraId="49DC68CC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25. W skład komisji konkursowej wchodzą pracownicy Urzędu Miejskiego w Brodnicy oraz osoby reprezentujące Organizacje, z wyłączeniem osób reprezentujących Organizacje biorące udział w konkursie.</w:t>
      </w:r>
    </w:p>
    <w:p w14:paraId="27AD3C58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26. W komisji konkursowej mogą uczestniczyć także, z głosem doradczym, osoby posiadające specjalistyczną wiedzę w dziedzinie obejmującej zakres zadań publicznych, których konkurs dotyczy.</w:t>
      </w:r>
    </w:p>
    <w:p w14:paraId="3BF0B477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27. Do zadań komisji konkursowej należy ocena ofert z uwzględnieniem kryteriów określonych w treści ogłoszenia konkursu.</w:t>
      </w:r>
    </w:p>
    <w:p w14:paraId="1C48116C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28. Komisja konkursowa może zaproponować przyznanie dotacji w kwocie niższej od określonej w ofercie.</w:t>
      </w:r>
    </w:p>
    <w:p w14:paraId="13D12E0F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29. Konkurs rozstrzyga Burmistrz Brodnicy w formie zarządzenia, po zapoznaniu się ze stanowiskiem komisji zawartym w protokole.</w:t>
      </w:r>
    </w:p>
    <w:p w14:paraId="5AE0B669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30. Za pracę w komisji konkursowej nie przysługuje wynagrodzenie.</w:t>
      </w:r>
    </w:p>
    <w:p w14:paraId="79C2C67D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Rozdział 12</w:t>
      </w:r>
    </w:p>
    <w:p w14:paraId="40459C47" w14:textId="77777777" w:rsidR="00A77B3E" w:rsidRPr="00F75572" w:rsidRDefault="0050053C">
      <w:pPr>
        <w:spacing w:before="120" w:after="120" w:line="276" w:lineRule="auto"/>
        <w:ind w:firstLine="227"/>
        <w:jc w:val="center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b/>
          <w:color w:val="000000"/>
          <w:u w:color="000000"/>
        </w:rPr>
        <w:t>Postanowienia końcowe</w:t>
      </w:r>
    </w:p>
    <w:p w14:paraId="498914CD" w14:textId="7777777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75572">
        <w:rPr>
          <w:rFonts w:asciiTheme="minorHAnsi" w:hAnsiTheme="minorHAnsi" w:cstheme="minorHAnsi"/>
          <w:color w:val="000000"/>
          <w:u w:color="000000"/>
        </w:rPr>
        <w:t>§ 31. Sprawozdanie z realizacji Programu przygotowuje pełnomocnik burmistrza ds. współpracy z organizacjami pozarządowymi do 15 marca za poprzedni rok i przedkłada je do 30 marca do akceptacji Burmistrzowi Brodnicy.</w:t>
      </w:r>
    </w:p>
    <w:p w14:paraId="2AEFE17A" w14:textId="2C742D07" w:rsidR="00A77B3E" w:rsidRPr="00F75572" w:rsidRDefault="0050053C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  <w:sectPr w:rsidR="00A77B3E" w:rsidRPr="00F75572" w:rsidSect="00F75572">
          <w:endnotePr>
            <w:numFmt w:val="decimal"/>
          </w:endnotePr>
          <w:pgSz w:w="11906" w:h="16838"/>
          <w:pgMar w:top="1417" w:right="1274" w:bottom="992" w:left="1276" w:header="708" w:footer="708" w:gutter="0"/>
          <w:pgNumType w:start="1"/>
          <w:cols w:space="708"/>
          <w:docGrid w:linePitch="360"/>
        </w:sectPr>
      </w:pPr>
      <w:r w:rsidRPr="00F75572">
        <w:rPr>
          <w:rFonts w:asciiTheme="minorHAnsi" w:hAnsiTheme="minorHAnsi" w:cstheme="minorHAnsi"/>
          <w:color w:val="000000"/>
          <w:u w:color="000000"/>
        </w:rPr>
        <w:t>§ 32. Burmistrz Brodnicy w terminie do 31 maja przedkłada Radzie oraz publikuje w Biuletynie Informacji Publicznej sprawozdanie z realizacji Programu za rok poprzedn</w:t>
      </w:r>
      <w:r w:rsidR="00F75572">
        <w:rPr>
          <w:rFonts w:asciiTheme="minorHAnsi" w:hAnsiTheme="minorHAnsi" w:cstheme="minorHAnsi"/>
          <w:color w:val="000000"/>
          <w:u w:color="000000"/>
        </w:rPr>
        <w:t>i.</w:t>
      </w:r>
    </w:p>
    <w:p w14:paraId="433C3480" w14:textId="7FF03B1C" w:rsidR="003C02D2" w:rsidRDefault="003C02D2" w:rsidP="00F75572"/>
    <w:p w14:paraId="3E188BA5" w14:textId="4EB21720" w:rsidR="00F75572" w:rsidRPr="00F75572" w:rsidRDefault="00F75572" w:rsidP="00F75572"/>
    <w:p w14:paraId="212E0CD4" w14:textId="7EAEF18F" w:rsidR="00F75572" w:rsidRPr="00F75572" w:rsidRDefault="00F75572" w:rsidP="00F75572"/>
    <w:p w14:paraId="18760545" w14:textId="02B4E789" w:rsidR="00F75572" w:rsidRPr="00F75572" w:rsidRDefault="00F75572" w:rsidP="00F75572"/>
    <w:p w14:paraId="71232079" w14:textId="6BA1BA84" w:rsidR="00F75572" w:rsidRPr="00F75572" w:rsidRDefault="00F75572" w:rsidP="00F75572"/>
    <w:p w14:paraId="367D54C3" w14:textId="01298B98" w:rsidR="00F75572" w:rsidRPr="00F75572" w:rsidRDefault="00F75572" w:rsidP="00F75572"/>
    <w:p w14:paraId="31DCF606" w14:textId="04D719AE" w:rsidR="00F75572" w:rsidRPr="00F75572" w:rsidRDefault="00F75572" w:rsidP="00F75572"/>
    <w:p w14:paraId="4B00CA7E" w14:textId="78650E49" w:rsidR="00F75572" w:rsidRPr="00F75572" w:rsidRDefault="00F75572" w:rsidP="00F75572">
      <w:pPr>
        <w:tabs>
          <w:tab w:val="left" w:pos="2880"/>
        </w:tabs>
      </w:pPr>
      <w:r>
        <w:tab/>
      </w:r>
    </w:p>
    <w:sectPr w:rsidR="00F75572" w:rsidRPr="00F75572" w:rsidSect="00F75572">
      <w:footerReference w:type="default" r:id="rId7"/>
      <w:endnotePr>
        <w:numFmt w:val="decimal"/>
      </w:endnotePr>
      <w:pgSz w:w="11906" w:h="16838"/>
      <w:pgMar w:top="1417" w:right="1274" w:bottom="992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F5F21" w14:textId="77777777" w:rsidR="0050053C" w:rsidRDefault="0050053C">
      <w:r>
        <w:separator/>
      </w:r>
    </w:p>
  </w:endnote>
  <w:endnote w:type="continuationSeparator" w:id="0">
    <w:p w14:paraId="02E7E038" w14:textId="77777777" w:rsidR="0050053C" w:rsidRDefault="0050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6E63" w14:textId="77777777" w:rsidR="003C02D2" w:rsidRDefault="003C02D2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84993" w14:textId="77777777" w:rsidR="0050053C" w:rsidRDefault="0050053C">
      <w:r>
        <w:separator/>
      </w:r>
    </w:p>
  </w:footnote>
  <w:footnote w:type="continuationSeparator" w:id="0">
    <w:p w14:paraId="0A698293" w14:textId="77777777" w:rsidR="0050053C" w:rsidRDefault="005005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C02D2"/>
    <w:rsid w:val="00497038"/>
    <w:rsid w:val="0050053C"/>
    <w:rsid w:val="00560FF7"/>
    <w:rsid w:val="006A3EEB"/>
    <w:rsid w:val="00A77B3E"/>
    <w:rsid w:val="00CA2A55"/>
    <w:rsid w:val="00F7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3E9C4F"/>
  <w15:docId w15:val="{A4219E8B-9474-4F0F-A2C0-E07CE381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755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572"/>
    <w:rPr>
      <w:rFonts w:ascii="Verdana" w:eastAsia="Verdana" w:hAnsi="Verdana" w:cs="Verdana"/>
      <w:sz w:val="24"/>
      <w:szCs w:val="24"/>
    </w:rPr>
  </w:style>
  <w:style w:type="paragraph" w:styleId="Stopka">
    <w:name w:val="footer"/>
    <w:basedOn w:val="Normalny"/>
    <w:link w:val="StopkaZnak"/>
    <w:unhideWhenUsed/>
    <w:rsid w:val="00F755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5572"/>
    <w:rPr>
      <w:rFonts w:ascii="Verdana" w:eastAsia="Verdana" w:hAnsi="Verdana" w:cs="Verda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C8AC2-8421-41CD-8B56-D9B88388A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2129</Words>
  <Characters>14209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Rady Miejskiej w Brodnicy</Company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VI/61/2024 z dnia 28 listopada 2024 r.</dc:title>
  <dc:subject>w sprawie uchwalenia rocznego Programu współpracy Gminy Miasta Brodnicy z^organizacjami pozarządowymi oraz podmiotami prowadzącymi działalność pożytku publicznego na rok 2025</dc:subject>
  <dc:creator>isugalska</dc:creator>
  <cp:lastModifiedBy>Iwona Sugalska</cp:lastModifiedBy>
  <cp:revision>4</cp:revision>
  <cp:lastPrinted>2024-11-29T07:31:00Z</cp:lastPrinted>
  <dcterms:created xsi:type="dcterms:W3CDTF">2024-11-29T07:33:00Z</dcterms:created>
  <dcterms:modified xsi:type="dcterms:W3CDTF">2025-09-17T09:40:00Z</dcterms:modified>
  <cp:category>Akt prawny</cp:category>
</cp:coreProperties>
</file>